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3F" w:rsidRPr="00AE66E4" w:rsidRDefault="0025503F" w:rsidP="0025503F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AE66E4">
        <w:rPr>
          <w:b/>
          <w:bCs/>
          <w:i/>
          <w:iCs/>
          <w:szCs w:val="24"/>
          <w:u w:val="single"/>
        </w:rPr>
        <w:t>Thông</w:t>
      </w:r>
      <w:proofErr w:type="spellEnd"/>
      <w:r w:rsidRPr="00AE66E4">
        <w:rPr>
          <w:b/>
          <w:bCs/>
          <w:i/>
          <w:iCs/>
          <w:szCs w:val="24"/>
          <w:u w:val="single"/>
        </w:rPr>
        <w:t xml:space="preserve"> tin </w:t>
      </w:r>
      <w:proofErr w:type="spellStart"/>
      <w:r w:rsidRPr="00AE66E4">
        <w:rPr>
          <w:b/>
          <w:bCs/>
          <w:i/>
          <w:iCs/>
          <w:szCs w:val="24"/>
          <w:u w:val="single"/>
        </w:rPr>
        <w:t>sản</w:t>
      </w:r>
      <w:proofErr w:type="spellEnd"/>
      <w:r w:rsidRPr="00AE66E4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E66E4">
        <w:rPr>
          <w:b/>
          <w:bCs/>
          <w:i/>
          <w:iCs/>
          <w:szCs w:val="24"/>
          <w:u w:val="single"/>
        </w:rPr>
        <w:t>phẩm</w:t>
      </w:r>
      <w:proofErr w:type="spellEnd"/>
      <w:r w:rsidRPr="00AE66E4">
        <w:rPr>
          <w:b/>
          <w:bCs/>
          <w:i/>
          <w:iCs/>
          <w:szCs w:val="24"/>
          <w:u w:val="single"/>
        </w:rPr>
        <w:t>:</w:t>
      </w:r>
    </w:p>
    <w:p w:rsidR="0025503F" w:rsidRPr="00AE66E4" w:rsidRDefault="0025503F" w:rsidP="0025503F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</w:p>
    <w:p w:rsidR="0025503F" w:rsidRPr="00AE66E4" w:rsidRDefault="0025503F" w:rsidP="0025503F">
      <w:pPr>
        <w:spacing w:line="360" w:lineRule="auto"/>
        <w:ind w:firstLine="420"/>
        <w:jc w:val="both"/>
        <w:rPr>
          <w:szCs w:val="24"/>
        </w:rPr>
      </w:pPr>
      <w:proofErr w:type="gramStart"/>
      <w:r w:rsidRPr="00AE66E4">
        <w:rPr>
          <w:color w:val="548DD4" w:themeColor="text2" w:themeTint="99"/>
          <w:sz w:val="28"/>
          <w:szCs w:val="24"/>
        </w:rPr>
        <w:t xml:space="preserve">Sealant-N </w:t>
      </w:r>
      <w:proofErr w:type="spellStart"/>
      <w:r w:rsidRPr="00AE66E4">
        <w:rPr>
          <w:szCs w:val="24"/>
        </w:rPr>
        <w:t>là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keo</w:t>
      </w:r>
      <w:proofErr w:type="spellEnd"/>
      <w:r w:rsidRPr="00AE66E4">
        <w:rPr>
          <w:szCs w:val="24"/>
        </w:rPr>
        <w:t xml:space="preserve"> silicone </w:t>
      </w:r>
      <w:proofErr w:type="spellStart"/>
      <w:r w:rsidRPr="00AE66E4">
        <w:rPr>
          <w:szCs w:val="24"/>
        </w:rPr>
        <w:t>một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thành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phần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trung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tính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gốc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Oxime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có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độ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đàn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hồi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rất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cao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sau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khi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tiếp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xúc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với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hơi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ẩm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và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độ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ẩm</w:t>
      </w:r>
      <w:proofErr w:type="spellEnd"/>
      <w:r w:rsidRPr="00AE66E4">
        <w:rPr>
          <w:szCs w:val="24"/>
        </w:rPr>
        <w:t xml:space="preserve"> ở </w:t>
      </w:r>
      <w:proofErr w:type="spellStart"/>
      <w:r w:rsidRPr="00AE66E4">
        <w:rPr>
          <w:szCs w:val="24"/>
        </w:rPr>
        <w:t>nhiệt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độ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phòng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sẽ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tạo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thành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một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dạng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chất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dẻo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như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cao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su</w:t>
      </w:r>
      <w:proofErr w:type="spellEnd"/>
      <w:r w:rsidRPr="00AE66E4">
        <w:rPr>
          <w:szCs w:val="24"/>
        </w:rPr>
        <w:t>.</w:t>
      </w:r>
      <w:proofErr w:type="gramEnd"/>
      <w:r w:rsidRPr="00AE66E4">
        <w:rPr>
          <w:szCs w:val="24"/>
        </w:rPr>
        <w:t xml:space="preserve"> Do </w:t>
      </w:r>
      <w:proofErr w:type="spellStart"/>
      <w:r w:rsidRPr="00AE66E4">
        <w:rPr>
          <w:szCs w:val="24"/>
        </w:rPr>
        <w:t>tính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năng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không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bị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lún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nên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được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áp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dụng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trên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bề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mặt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mối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nối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trên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trần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nhà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hoặc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trên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bề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mặt</w:t>
      </w:r>
      <w:proofErr w:type="spellEnd"/>
      <w:r w:rsidRPr="00AE66E4">
        <w:rPr>
          <w:szCs w:val="24"/>
        </w:rPr>
        <w:t xml:space="preserve"> </w:t>
      </w:r>
      <w:proofErr w:type="spellStart"/>
      <w:proofErr w:type="gramStart"/>
      <w:r w:rsidRPr="00AE66E4">
        <w:rPr>
          <w:szCs w:val="24"/>
        </w:rPr>
        <w:t>ron</w:t>
      </w:r>
      <w:proofErr w:type="spellEnd"/>
      <w:proofErr w:type="gram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tường</w:t>
      </w:r>
      <w:proofErr w:type="spellEnd"/>
      <w:r w:rsidRPr="00AE66E4">
        <w:rPr>
          <w:szCs w:val="24"/>
        </w:rPr>
        <w:t xml:space="preserve">. Sealant-N </w:t>
      </w:r>
      <w:proofErr w:type="spellStart"/>
      <w:r w:rsidRPr="00AE66E4">
        <w:rPr>
          <w:szCs w:val="24"/>
        </w:rPr>
        <w:t>không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mùi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trong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quá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trình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sử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dụng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và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không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ăn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mòn</w:t>
      </w:r>
      <w:proofErr w:type="spellEnd"/>
      <w:r w:rsidRPr="00AE66E4">
        <w:rPr>
          <w:szCs w:val="24"/>
        </w:rPr>
        <w:t xml:space="preserve"> </w:t>
      </w:r>
      <w:proofErr w:type="spellStart"/>
      <w:proofErr w:type="gramStart"/>
      <w:r w:rsidRPr="00AE66E4">
        <w:rPr>
          <w:szCs w:val="24"/>
        </w:rPr>
        <w:t>kim</w:t>
      </w:r>
      <w:proofErr w:type="spellEnd"/>
      <w:proofErr w:type="gram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loại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đặc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biệt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phù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hợp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để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sử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dụng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cho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các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công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trình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nội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thất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và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ngoại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thất</w:t>
      </w:r>
      <w:proofErr w:type="spellEnd"/>
      <w:r w:rsidRPr="00AE66E4">
        <w:rPr>
          <w:szCs w:val="24"/>
        </w:rPr>
        <w:t xml:space="preserve">. Sealant- N </w:t>
      </w:r>
      <w:proofErr w:type="spellStart"/>
      <w:r w:rsidRPr="00AE66E4">
        <w:rPr>
          <w:szCs w:val="24"/>
        </w:rPr>
        <w:t>có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độ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bám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dính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tốt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thích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hợp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sử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dụng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trên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nhiều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vật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liệu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khác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nhau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như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kính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đá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đá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hoa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cương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kim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loại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khung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kính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trượt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vữa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hồ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nhựa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cấu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trúc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treo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nhà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lắp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ghép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gỗ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bề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mặt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sơn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sợi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tổng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hợp</w:t>
      </w:r>
      <w:proofErr w:type="spellEnd"/>
      <w:r w:rsidRPr="00AE66E4">
        <w:rPr>
          <w:szCs w:val="24"/>
        </w:rPr>
        <w:t xml:space="preserve">, </w:t>
      </w:r>
      <w:proofErr w:type="spellStart"/>
      <w:r w:rsidRPr="00AE66E4">
        <w:rPr>
          <w:szCs w:val="24"/>
        </w:rPr>
        <w:t>cao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su</w:t>
      </w:r>
      <w:proofErr w:type="spellEnd"/>
      <w:r w:rsidRPr="00AE66E4">
        <w:rPr>
          <w:szCs w:val="24"/>
        </w:rPr>
        <w:t xml:space="preserve"> silicon </w:t>
      </w:r>
      <w:proofErr w:type="spellStart"/>
      <w:r w:rsidRPr="00AE66E4">
        <w:rPr>
          <w:szCs w:val="24"/>
        </w:rPr>
        <w:t>lưu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hóa</w:t>
      </w:r>
      <w:proofErr w:type="spellEnd"/>
      <w:r w:rsidRPr="00AE66E4">
        <w:rPr>
          <w:szCs w:val="24"/>
        </w:rPr>
        <w:t xml:space="preserve">. </w:t>
      </w:r>
      <w:proofErr w:type="spellStart"/>
      <w:proofErr w:type="gramStart"/>
      <w:r w:rsidRPr="00AE66E4">
        <w:rPr>
          <w:szCs w:val="24"/>
        </w:rPr>
        <w:t>Ngoài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ra</w:t>
      </w:r>
      <w:proofErr w:type="spellEnd"/>
      <w:r w:rsidRPr="00AE66E4">
        <w:rPr>
          <w:szCs w:val="24"/>
        </w:rPr>
        <w:t xml:space="preserve">, Sealant-N </w:t>
      </w:r>
      <w:proofErr w:type="spellStart"/>
      <w:r w:rsidRPr="00AE66E4">
        <w:rPr>
          <w:szCs w:val="24"/>
        </w:rPr>
        <w:t>còn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có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khả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năng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chịu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nhiệt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cao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và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thời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tiết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lạnh</w:t>
      </w:r>
      <w:proofErr w:type="spellEnd"/>
      <w:r w:rsidRPr="00AE66E4">
        <w:rPr>
          <w:szCs w:val="24"/>
        </w:rPr>
        <w:t xml:space="preserve"> </w:t>
      </w:r>
      <w:proofErr w:type="spellStart"/>
      <w:r w:rsidRPr="00AE66E4">
        <w:rPr>
          <w:szCs w:val="24"/>
        </w:rPr>
        <w:t>từ</w:t>
      </w:r>
      <w:proofErr w:type="spellEnd"/>
      <w:r w:rsidRPr="00AE66E4">
        <w:rPr>
          <w:szCs w:val="24"/>
        </w:rPr>
        <w:t xml:space="preserve"> -50</w:t>
      </w:r>
      <w:r w:rsidRPr="00AE66E4">
        <w:rPr>
          <w:szCs w:val="24"/>
          <w:vertAlign w:val="superscript"/>
        </w:rPr>
        <w:t>0</w:t>
      </w:r>
      <w:r w:rsidRPr="00AE66E4">
        <w:rPr>
          <w:szCs w:val="24"/>
        </w:rPr>
        <w:t xml:space="preserve">C </w:t>
      </w:r>
      <w:proofErr w:type="spellStart"/>
      <w:r w:rsidRPr="00AE66E4">
        <w:rPr>
          <w:szCs w:val="24"/>
        </w:rPr>
        <w:t>đến</w:t>
      </w:r>
      <w:proofErr w:type="spellEnd"/>
      <w:r w:rsidRPr="00AE66E4">
        <w:rPr>
          <w:szCs w:val="24"/>
        </w:rPr>
        <w:t xml:space="preserve"> 150</w:t>
      </w:r>
      <w:r w:rsidRPr="00AE66E4">
        <w:rPr>
          <w:szCs w:val="24"/>
          <w:vertAlign w:val="superscript"/>
        </w:rPr>
        <w:t>0</w:t>
      </w:r>
      <w:r w:rsidRPr="00AE66E4">
        <w:rPr>
          <w:szCs w:val="24"/>
        </w:rPr>
        <w:t>C.</w:t>
      </w:r>
      <w:proofErr w:type="gramEnd"/>
    </w:p>
    <w:p w:rsidR="0025503F" w:rsidRPr="00AE66E4" w:rsidRDefault="0025503F" w:rsidP="0025503F">
      <w:pPr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3181"/>
        <w:gridCol w:w="5293"/>
      </w:tblGrid>
      <w:tr w:rsidR="0025503F" w:rsidRPr="00AE66E4" w:rsidTr="005F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proofErr w:type="spellStart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>Đặc</w:t>
            </w:r>
            <w:proofErr w:type="spellEnd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>điểm</w:t>
            </w:r>
            <w:proofErr w:type="spellEnd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>sản</w:t>
            </w:r>
            <w:proofErr w:type="spellEnd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>phẩm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 xml:space="preserve">      Chi </w:t>
            </w:r>
            <w:proofErr w:type="spellStart"/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>tiết</w:t>
            </w:r>
            <w:proofErr w:type="spellEnd"/>
          </w:p>
        </w:tc>
      </w:tr>
      <w:tr w:rsidR="0025503F" w:rsidRPr="00AE66E4" w:rsidTr="005F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Đặc</w:t>
            </w:r>
            <w:proofErr w:type="spellEnd"/>
            <w:r w:rsidRPr="00AE66E4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trưng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Không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ăn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mòn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kim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loại</w:t>
            </w:r>
            <w:proofErr w:type="spellEnd"/>
          </w:p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100 % silicone</w:t>
            </w:r>
          </w:p>
          <w:p w:rsidR="0025503F" w:rsidRPr="00AE66E4" w:rsidRDefault="0025503F" w:rsidP="005F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proofErr w:type="spellStart"/>
            <w:r w:rsidRPr="00AE66E4">
              <w:rPr>
                <w:szCs w:val="24"/>
              </w:rPr>
              <w:t>Độ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bám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dính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cao</w:t>
            </w:r>
            <w:proofErr w:type="spellEnd"/>
          </w:p>
        </w:tc>
      </w:tr>
      <w:tr w:rsidR="0025503F" w:rsidRPr="00AE66E4" w:rsidTr="005F077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Sử</w:t>
            </w:r>
            <w:proofErr w:type="spellEnd"/>
            <w:r w:rsidRPr="00AE66E4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dụng</w:t>
            </w:r>
            <w:proofErr w:type="spellEnd"/>
            <w:r w:rsidRPr="00AE66E4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phù</w:t>
            </w:r>
            <w:proofErr w:type="spellEnd"/>
            <w:r w:rsidRPr="00AE66E4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hợp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Kính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kim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loại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nhựa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gỗ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đá</w:t>
            </w:r>
            <w:proofErr w:type="spellEnd"/>
          </w:p>
          <w:p w:rsidR="0025503F" w:rsidRPr="00AE66E4" w:rsidRDefault="0025503F" w:rsidP="005F077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Khung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kính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trượt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vữa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hồ</w:t>
            </w:r>
            <w:proofErr w:type="spellEnd"/>
            <w:r w:rsidRPr="00AE66E4">
              <w:rPr>
                <w:szCs w:val="24"/>
              </w:rPr>
              <w:t>.</w:t>
            </w:r>
          </w:p>
        </w:tc>
      </w:tr>
      <w:tr w:rsidR="0025503F" w:rsidRPr="00AE66E4" w:rsidTr="005F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Tiêu</w:t>
            </w:r>
            <w:proofErr w:type="spellEnd"/>
            <w:r w:rsidRPr="00AE66E4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chuẩn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-JIS A 5758-97 G-F 20LM</w:t>
            </w:r>
          </w:p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-ASTM C 920 Type S, Grade NS Class 25</w:t>
            </w:r>
          </w:p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-GB/T 14683-93 8020F,N</w:t>
            </w:r>
          </w:p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-BS 5889:1989 Type B</w:t>
            </w:r>
          </w:p>
        </w:tc>
      </w:tr>
      <w:tr w:rsidR="0025503F" w:rsidRPr="00AE66E4" w:rsidTr="005F077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Xuất</w:t>
            </w:r>
            <w:proofErr w:type="spellEnd"/>
            <w:r w:rsidRPr="00AE66E4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szCs w:val="24"/>
              </w:rPr>
              <w:t>xứ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Thái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Lan</w:t>
            </w:r>
            <w:proofErr w:type="spellEnd"/>
          </w:p>
        </w:tc>
      </w:tr>
      <w:tr w:rsidR="0025503F" w:rsidRPr="00AE66E4" w:rsidTr="005F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AE66E4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Màu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Xám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nhẹ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trắng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sữa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trắng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trong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đen</w:t>
            </w:r>
            <w:proofErr w:type="spellEnd"/>
            <w:r w:rsidRPr="00AE66E4">
              <w:rPr>
                <w:szCs w:val="24"/>
              </w:rPr>
              <w:t>.</w:t>
            </w:r>
          </w:p>
        </w:tc>
      </w:tr>
      <w:tr w:rsidR="0025503F" w:rsidRPr="00AE66E4" w:rsidTr="005F077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25503F" w:rsidRPr="00AE66E4" w:rsidRDefault="0025503F" w:rsidP="005F0775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AE66E4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Đóng</w:t>
            </w:r>
            <w:proofErr w:type="spellEnd"/>
            <w:r w:rsidRPr="00AE66E4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AE66E4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gói</w:t>
            </w:r>
            <w:proofErr w:type="spellEnd"/>
          </w:p>
        </w:tc>
        <w:tc>
          <w:tcPr>
            <w:tcW w:w="3123" w:type="pct"/>
          </w:tcPr>
          <w:p w:rsidR="0025503F" w:rsidRPr="00AE66E4" w:rsidRDefault="0025503F" w:rsidP="005F077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300ml/Chai; 25chai/</w:t>
            </w:r>
            <w:proofErr w:type="spellStart"/>
            <w:r w:rsidRPr="00AE66E4">
              <w:rPr>
                <w:szCs w:val="24"/>
              </w:rPr>
              <w:t>thùng</w:t>
            </w:r>
            <w:proofErr w:type="spellEnd"/>
          </w:p>
        </w:tc>
      </w:tr>
    </w:tbl>
    <w:p w:rsidR="0025503F" w:rsidRPr="00AE66E4" w:rsidRDefault="0025503F" w:rsidP="0025503F">
      <w:pPr>
        <w:spacing w:line="360" w:lineRule="auto"/>
        <w:jc w:val="both"/>
        <w:rPr>
          <w:szCs w:val="24"/>
        </w:rPr>
      </w:pPr>
    </w:p>
    <w:p w:rsidR="0025503F" w:rsidRPr="00AE66E4" w:rsidRDefault="0025503F" w:rsidP="0025503F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AE66E4">
        <w:rPr>
          <w:b/>
          <w:bCs/>
          <w:i/>
          <w:iCs/>
          <w:szCs w:val="24"/>
          <w:u w:val="single"/>
        </w:rPr>
        <w:t>Đặc</w:t>
      </w:r>
      <w:proofErr w:type="spellEnd"/>
      <w:r w:rsidRPr="00AE66E4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E66E4">
        <w:rPr>
          <w:b/>
          <w:bCs/>
          <w:i/>
          <w:iCs/>
          <w:szCs w:val="24"/>
          <w:u w:val="single"/>
        </w:rPr>
        <w:t>tính</w:t>
      </w:r>
      <w:proofErr w:type="spellEnd"/>
      <w:r w:rsidRPr="00AE66E4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E66E4">
        <w:rPr>
          <w:b/>
          <w:bCs/>
          <w:i/>
          <w:iCs/>
          <w:szCs w:val="24"/>
          <w:u w:val="single"/>
        </w:rPr>
        <w:t>kỹ</w:t>
      </w:r>
      <w:proofErr w:type="spellEnd"/>
      <w:r w:rsidRPr="00AE66E4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AE66E4">
        <w:rPr>
          <w:b/>
          <w:bCs/>
          <w:i/>
          <w:iCs/>
          <w:szCs w:val="24"/>
          <w:u w:val="single"/>
        </w:rPr>
        <w:t>thuật</w:t>
      </w:r>
      <w:proofErr w:type="spellEnd"/>
      <w:r w:rsidRPr="00AE66E4">
        <w:rPr>
          <w:b/>
          <w:bCs/>
          <w:i/>
          <w:iCs/>
          <w:szCs w:val="24"/>
          <w:u w:val="single"/>
        </w:rPr>
        <w:t>:</w:t>
      </w:r>
    </w:p>
    <w:p w:rsidR="0025503F" w:rsidRPr="00AE66E4" w:rsidRDefault="0025503F" w:rsidP="0025503F">
      <w:pPr>
        <w:rPr>
          <w:szCs w:val="24"/>
        </w:rPr>
      </w:pPr>
    </w:p>
    <w:tbl>
      <w:tblPr>
        <w:tblStyle w:val="ListTable2Accent5"/>
        <w:tblW w:w="4837" w:type="pct"/>
        <w:tblLook w:val="0660" w:firstRow="1" w:lastRow="1" w:firstColumn="0" w:lastColumn="0" w:noHBand="1" w:noVBand="1"/>
      </w:tblPr>
      <w:tblGrid>
        <w:gridCol w:w="4360"/>
        <w:gridCol w:w="2406"/>
        <w:gridCol w:w="1902"/>
        <w:gridCol w:w="1996"/>
      </w:tblGrid>
      <w:tr w:rsidR="0025503F" w:rsidRPr="00AE66E4" w:rsidTr="005F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b w:val="0"/>
                <w:i/>
                <w:szCs w:val="24"/>
              </w:rPr>
            </w:pPr>
            <w:proofErr w:type="spellStart"/>
            <w:r w:rsidRPr="00AE66E4">
              <w:rPr>
                <w:b w:val="0"/>
                <w:i/>
                <w:szCs w:val="24"/>
              </w:rPr>
              <w:t>Tính</w:t>
            </w:r>
            <w:proofErr w:type="spellEnd"/>
            <w:r w:rsidRPr="00AE66E4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i/>
                <w:szCs w:val="24"/>
              </w:rPr>
              <w:t>năng</w:t>
            </w:r>
            <w:proofErr w:type="spellEnd"/>
          </w:p>
        </w:tc>
        <w:tc>
          <w:tcPr>
            <w:tcW w:w="1128" w:type="pct"/>
            <w:vAlign w:val="center"/>
          </w:tcPr>
          <w:p w:rsidR="0025503F" w:rsidRPr="00AE66E4" w:rsidRDefault="0025503F" w:rsidP="005F0775">
            <w:pPr>
              <w:rPr>
                <w:b w:val="0"/>
                <w:i/>
                <w:szCs w:val="24"/>
              </w:rPr>
            </w:pPr>
            <w:proofErr w:type="spellStart"/>
            <w:r w:rsidRPr="00AE66E4">
              <w:rPr>
                <w:b w:val="0"/>
                <w:i/>
                <w:szCs w:val="24"/>
              </w:rPr>
              <w:t>Đơn</w:t>
            </w:r>
            <w:proofErr w:type="spellEnd"/>
            <w:r w:rsidRPr="00AE66E4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i/>
                <w:szCs w:val="24"/>
              </w:rPr>
              <w:t>vị</w:t>
            </w:r>
            <w:proofErr w:type="spellEnd"/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b w:val="0"/>
                <w:i/>
                <w:szCs w:val="24"/>
              </w:rPr>
            </w:pPr>
            <w:proofErr w:type="spellStart"/>
            <w:r w:rsidRPr="00AE66E4">
              <w:rPr>
                <w:b w:val="0"/>
                <w:i/>
                <w:szCs w:val="24"/>
              </w:rPr>
              <w:t>Số</w:t>
            </w:r>
            <w:proofErr w:type="spellEnd"/>
            <w:r w:rsidRPr="00AE66E4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i/>
                <w:szCs w:val="24"/>
              </w:rPr>
              <w:t>liệu</w:t>
            </w:r>
            <w:proofErr w:type="spellEnd"/>
          </w:p>
        </w:tc>
        <w:tc>
          <w:tcPr>
            <w:tcW w:w="936" w:type="pct"/>
          </w:tcPr>
          <w:p w:rsidR="0025503F" w:rsidRPr="00AE66E4" w:rsidRDefault="0025503F" w:rsidP="005F0775">
            <w:pPr>
              <w:rPr>
                <w:szCs w:val="24"/>
              </w:rPr>
            </w:pPr>
          </w:p>
        </w:tc>
      </w:tr>
      <w:tr w:rsidR="0025503F" w:rsidRPr="00AE66E4" w:rsidTr="005F0775">
        <w:trPr>
          <w:trHeight w:val="408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</w:t>
            </w:r>
            <w:proofErr w:type="spellStart"/>
            <w:r w:rsidRPr="00AE66E4">
              <w:rPr>
                <w:szCs w:val="24"/>
              </w:rPr>
              <w:t>Tính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năng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khô</w:t>
            </w:r>
            <w:proofErr w:type="spellEnd"/>
          </w:p>
        </w:tc>
        <w:tc>
          <w:tcPr>
            <w:tcW w:w="1128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Gốc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Oxime</w:t>
            </w:r>
            <w:proofErr w:type="spellEnd"/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408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b/>
                <w:i/>
                <w:szCs w:val="24"/>
              </w:rPr>
            </w:pPr>
            <w:proofErr w:type="spellStart"/>
            <w:r w:rsidRPr="00AE66E4">
              <w:rPr>
                <w:b/>
                <w:i/>
                <w:szCs w:val="24"/>
              </w:rPr>
              <w:t>Trước</w:t>
            </w:r>
            <w:proofErr w:type="spellEnd"/>
            <w:r w:rsidRPr="00AE66E4">
              <w:rPr>
                <w:b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/>
                <w:i/>
                <w:szCs w:val="24"/>
              </w:rPr>
              <w:t>khi</w:t>
            </w:r>
            <w:proofErr w:type="spellEnd"/>
            <w:r w:rsidRPr="00AE66E4">
              <w:rPr>
                <w:b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/>
                <w:i/>
                <w:szCs w:val="24"/>
              </w:rPr>
              <w:t>khô</w:t>
            </w:r>
            <w:proofErr w:type="spellEnd"/>
          </w:p>
        </w:tc>
        <w:tc>
          <w:tcPr>
            <w:tcW w:w="1128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486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</w:t>
            </w:r>
            <w:proofErr w:type="spellStart"/>
            <w:r w:rsidRPr="00AE66E4">
              <w:rPr>
                <w:szCs w:val="24"/>
              </w:rPr>
              <w:t>Bề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mặt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keo</w:t>
            </w:r>
            <w:proofErr w:type="spellEnd"/>
          </w:p>
        </w:tc>
        <w:tc>
          <w:tcPr>
            <w:tcW w:w="1128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Đạt</w:t>
            </w:r>
            <w:proofErr w:type="spellEnd"/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472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</w:t>
            </w:r>
            <w:proofErr w:type="spellStart"/>
            <w:r w:rsidRPr="00AE66E4">
              <w:rPr>
                <w:szCs w:val="24"/>
              </w:rPr>
              <w:t>Độ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lún</w:t>
            </w:r>
            <w:proofErr w:type="spellEnd"/>
          </w:p>
        </w:tc>
        <w:tc>
          <w:tcPr>
            <w:tcW w:w="1128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Không</w:t>
            </w:r>
            <w:proofErr w:type="spellEnd"/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529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</w:t>
            </w:r>
            <w:proofErr w:type="spellStart"/>
            <w:r w:rsidRPr="00AE66E4">
              <w:rPr>
                <w:szCs w:val="24"/>
              </w:rPr>
              <w:t>Thời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gian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tạm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khô</w:t>
            </w:r>
            <w:proofErr w:type="spellEnd"/>
            <w:r w:rsidRPr="00AE66E4">
              <w:rPr>
                <w:szCs w:val="24"/>
              </w:rPr>
              <w:t xml:space="preserve"> ở </w:t>
            </w:r>
            <w:proofErr w:type="spellStart"/>
            <w:r w:rsidRPr="00AE66E4">
              <w:rPr>
                <w:szCs w:val="24"/>
              </w:rPr>
              <w:t>bề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mặt</w:t>
            </w:r>
            <w:proofErr w:type="spellEnd"/>
          </w:p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ở </w:t>
            </w:r>
            <w:proofErr w:type="spellStart"/>
            <w:r w:rsidRPr="00AE66E4">
              <w:rPr>
                <w:szCs w:val="24"/>
              </w:rPr>
              <w:t>nhiệt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độ</w:t>
            </w:r>
            <w:proofErr w:type="spellEnd"/>
            <w:r w:rsidRPr="00AE66E4">
              <w:rPr>
                <w:szCs w:val="24"/>
              </w:rPr>
              <w:t xml:space="preserve"> 23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(73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F)</w:t>
            </w:r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6E4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6</w:t>
            </w: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352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b/>
                <w:i/>
                <w:szCs w:val="24"/>
              </w:rPr>
            </w:pPr>
            <w:proofErr w:type="spellStart"/>
            <w:r w:rsidRPr="00AE66E4">
              <w:rPr>
                <w:b/>
                <w:i/>
                <w:szCs w:val="24"/>
              </w:rPr>
              <w:t>Sau</w:t>
            </w:r>
            <w:proofErr w:type="spellEnd"/>
            <w:r w:rsidRPr="00AE66E4">
              <w:rPr>
                <w:b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/>
                <w:i/>
                <w:szCs w:val="24"/>
              </w:rPr>
              <w:t>khi</w:t>
            </w:r>
            <w:proofErr w:type="spellEnd"/>
            <w:r w:rsidRPr="00AE66E4">
              <w:rPr>
                <w:b/>
                <w:i/>
                <w:szCs w:val="24"/>
              </w:rPr>
              <w:t xml:space="preserve"> </w:t>
            </w:r>
            <w:proofErr w:type="spellStart"/>
            <w:r w:rsidRPr="00AE66E4">
              <w:rPr>
                <w:b/>
                <w:i/>
                <w:szCs w:val="24"/>
              </w:rPr>
              <w:t>khô</w:t>
            </w:r>
            <w:proofErr w:type="spellEnd"/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486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lastRenderedPageBreak/>
              <w:t xml:space="preserve">     </w:t>
            </w:r>
            <w:proofErr w:type="spellStart"/>
            <w:r w:rsidRPr="00AE66E4">
              <w:rPr>
                <w:szCs w:val="24"/>
              </w:rPr>
              <w:t>Bề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mặt</w:t>
            </w:r>
            <w:proofErr w:type="spellEnd"/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 xml:space="preserve">Cao </w:t>
            </w:r>
            <w:proofErr w:type="spellStart"/>
            <w:r w:rsidRPr="00AE66E4">
              <w:rPr>
                <w:szCs w:val="24"/>
              </w:rPr>
              <w:t>su</w:t>
            </w:r>
            <w:proofErr w:type="spellEnd"/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437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</w:t>
            </w:r>
            <w:proofErr w:type="spellStart"/>
            <w:r w:rsidRPr="00AE66E4">
              <w:rPr>
                <w:szCs w:val="24"/>
              </w:rPr>
              <w:t>Trọng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lượng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riêng</w:t>
            </w:r>
            <w:proofErr w:type="spellEnd"/>
            <w:r w:rsidRPr="00AE66E4">
              <w:rPr>
                <w:szCs w:val="24"/>
              </w:rPr>
              <w:t xml:space="preserve"> ở </w:t>
            </w:r>
            <w:proofErr w:type="spellStart"/>
            <w:r w:rsidRPr="00AE66E4">
              <w:rPr>
                <w:szCs w:val="24"/>
              </w:rPr>
              <w:t>nhiệt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độ</w:t>
            </w:r>
            <w:proofErr w:type="spellEnd"/>
          </w:p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23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(73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F)</w:t>
            </w:r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sz w:val="24"/>
                <w:szCs w:val="24"/>
              </w:rPr>
              <w:t>g/cm</w:t>
            </w:r>
            <w:r w:rsidRPr="00AE66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1.04</w:t>
            </w: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529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</w:t>
            </w:r>
            <w:proofErr w:type="spellStart"/>
            <w:r w:rsidRPr="00AE66E4">
              <w:rPr>
                <w:szCs w:val="24"/>
              </w:rPr>
              <w:t>Vật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độ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cứng</w:t>
            </w:r>
            <w:proofErr w:type="spellEnd"/>
            <w:r w:rsidRPr="00AE66E4">
              <w:rPr>
                <w:szCs w:val="24"/>
              </w:rPr>
              <w:t xml:space="preserve">, </w:t>
            </w:r>
            <w:proofErr w:type="spellStart"/>
            <w:r w:rsidRPr="00AE66E4">
              <w:rPr>
                <w:szCs w:val="24"/>
              </w:rPr>
              <w:t>trụ</w:t>
            </w:r>
            <w:proofErr w:type="spellEnd"/>
            <w:r w:rsidRPr="00AE66E4">
              <w:rPr>
                <w:szCs w:val="24"/>
              </w:rPr>
              <w:t xml:space="preserve"> A</w:t>
            </w:r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20</w:t>
            </w: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trHeight w:val="472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</w:t>
            </w:r>
            <w:proofErr w:type="spellStart"/>
            <w:r w:rsidRPr="00AE66E4">
              <w:rPr>
                <w:szCs w:val="24"/>
              </w:rPr>
              <w:t>Sức</w:t>
            </w:r>
            <w:proofErr w:type="spellEnd"/>
            <w:r w:rsidRPr="00AE66E4">
              <w:rPr>
                <w:szCs w:val="24"/>
              </w:rPr>
              <w:t xml:space="preserve"> </w:t>
            </w:r>
            <w:proofErr w:type="spellStart"/>
            <w:r w:rsidRPr="00AE66E4">
              <w:rPr>
                <w:szCs w:val="24"/>
              </w:rPr>
              <w:t>căng</w:t>
            </w:r>
            <w:proofErr w:type="spellEnd"/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sz w:val="24"/>
                <w:szCs w:val="24"/>
              </w:rPr>
              <w:t>(MPa)</w:t>
            </w: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1.4</w:t>
            </w: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3F" w:rsidRPr="00AE66E4" w:rsidTr="005F07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044" w:type="pct"/>
            <w:noWrap/>
            <w:vAlign w:val="center"/>
          </w:tcPr>
          <w:p w:rsidR="0025503F" w:rsidRPr="00AE66E4" w:rsidRDefault="0025503F" w:rsidP="005F0775">
            <w:pPr>
              <w:rPr>
                <w:b w:val="0"/>
                <w:szCs w:val="24"/>
              </w:rPr>
            </w:pPr>
            <w:r w:rsidRPr="00AE66E4">
              <w:rPr>
                <w:b w:val="0"/>
                <w:szCs w:val="24"/>
              </w:rPr>
              <w:t xml:space="preserve">     </w:t>
            </w:r>
            <w:proofErr w:type="spellStart"/>
            <w:r w:rsidRPr="00AE66E4">
              <w:rPr>
                <w:b w:val="0"/>
                <w:szCs w:val="24"/>
              </w:rPr>
              <w:t>Kéo</w:t>
            </w:r>
            <w:proofErr w:type="spellEnd"/>
            <w:r w:rsidRPr="00AE66E4">
              <w:rPr>
                <w:b w:val="0"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szCs w:val="24"/>
              </w:rPr>
              <w:t>dãn</w:t>
            </w:r>
            <w:proofErr w:type="spellEnd"/>
            <w:r w:rsidRPr="00AE66E4">
              <w:rPr>
                <w:b w:val="0"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szCs w:val="24"/>
              </w:rPr>
              <w:t>dài</w:t>
            </w:r>
            <w:proofErr w:type="spellEnd"/>
            <w:r w:rsidRPr="00AE66E4">
              <w:rPr>
                <w:b w:val="0"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szCs w:val="24"/>
              </w:rPr>
              <w:t>cho</w:t>
            </w:r>
            <w:proofErr w:type="spellEnd"/>
            <w:r w:rsidRPr="00AE66E4">
              <w:rPr>
                <w:b w:val="0"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szCs w:val="24"/>
              </w:rPr>
              <w:t>đến</w:t>
            </w:r>
            <w:proofErr w:type="spellEnd"/>
            <w:r w:rsidRPr="00AE66E4">
              <w:rPr>
                <w:b w:val="0"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szCs w:val="24"/>
              </w:rPr>
              <w:t>khi</w:t>
            </w:r>
            <w:proofErr w:type="spellEnd"/>
            <w:r w:rsidRPr="00AE66E4">
              <w:rPr>
                <w:b w:val="0"/>
                <w:szCs w:val="24"/>
              </w:rPr>
              <w:t xml:space="preserve"> </w:t>
            </w:r>
            <w:proofErr w:type="spellStart"/>
            <w:r w:rsidRPr="00AE66E4">
              <w:rPr>
                <w:b w:val="0"/>
                <w:szCs w:val="24"/>
              </w:rPr>
              <w:t>đứt</w:t>
            </w:r>
            <w:proofErr w:type="spellEnd"/>
          </w:p>
        </w:tc>
        <w:tc>
          <w:tcPr>
            <w:tcW w:w="1128" w:type="pct"/>
            <w:vAlign w:val="bottom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AE66E4">
              <w:rPr>
                <w:rFonts w:ascii="Times New Roman" w:eastAsia="SimSun" w:hAnsi="Times New Roman"/>
                <w:b w:val="0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892" w:type="pct"/>
            <w:vAlign w:val="center"/>
          </w:tcPr>
          <w:p w:rsidR="0025503F" w:rsidRPr="00AE66E4" w:rsidRDefault="0025503F" w:rsidP="005F0775">
            <w:pPr>
              <w:jc w:val="center"/>
              <w:rPr>
                <w:b w:val="0"/>
                <w:szCs w:val="24"/>
              </w:rPr>
            </w:pPr>
            <w:r w:rsidRPr="00AE66E4">
              <w:rPr>
                <w:b w:val="0"/>
                <w:szCs w:val="24"/>
              </w:rPr>
              <w:t>540</w:t>
            </w:r>
          </w:p>
        </w:tc>
        <w:tc>
          <w:tcPr>
            <w:tcW w:w="936" w:type="pct"/>
          </w:tcPr>
          <w:p w:rsidR="0025503F" w:rsidRPr="00AE66E4" w:rsidRDefault="0025503F" w:rsidP="005F077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03F" w:rsidRPr="00AE66E4" w:rsidRDefault="0025503F" w:rsidP="0025503F">
      <w:pPr>
        <w:spacing w:line="360" w:lineRule="auto"/>
        <w:jc w:val="both"/>
        <w:rPr>
          <w:szCs w:val="24"/>
        </w:rPr>
      </w:pPr>
    </w:p>
    <w:p w:rsidR="0025503F" w:rsidRPr="00AE66E4" w:rsidRDefault="0025503F" w:rsidP="0025503F">
      <w:pPr>
        <w:spacing w:line="360" w:lineRule="auto"/>
        <w:jc w:val="both"/>
        <w:rPr>
          <w:b/>
          <w:i/>
          <w:iCs/>
          <w:szCs w:val="24"/>
          <w:u w:val="single"/>
        </w:rPr>
      </w:pPr>
      <w:r w:rsidRPr="00AE66E4">
        <w:rPr>
          <w:b/>
          <w:i/>
          <w:iCs/>
          <w:szCs w:val="24"/>
          <w:u w:val="single"/>
        </w:rPr>
        <w:t>Product Information:</w:t>
      </w:r>
    </w:p>
    <w:p w:rsidR="0025503F" w:rsidRPr="00AE66E4" w:rsidRDefault="0025503F" w:rsidP="0025503F">
      <w:pPr>
        <w:spacing w:line="360" w:lineRule="auto"/>
        <w:jc w:val="both"/>
        <w:rPr>
          <w:iCs/>
          <w:szCs w:val="24"/>
        </w:rPr>
      </w:pPr>
      <w:r w:rsidRPr="00AE66E4">
        <w:rPr>
          <w:color w:val="548DD4" w:themeColor="text2" w:themeTint="99"/>
          <w:sz w:val="28"/>
          <w:szCs w:val="24"/>
        </w:rPr>
        <w:t>Sealant-N</w:t>
      </w:r>
      <w:r w:rsidRPr="00AE66E4">
        <w:rPr>
          <w:iCs/>
          <w:color w:val="548DD4" w:themeColor="text2" w:themeTint="99"/>
          <w:sz w:val="28"/>
          <w:szCs w:val="24"/>
        </w:rPr>
        <w:t xml:space="preserve"> </w:t>
      </w:r>
      <w:r w:rsidRPr="00AE66E4">
        <w:rPr>
          <w:iCs/>
          <w:szCs w:val="24"/>
        </w:rPr>
        <w:t>is one-component neutral (</w:t>
      </w:r>
      <w:proofErr w:type="spellStart"/>
      <w:r w:rsidRPr="00AE66E4">
        <w:rPr>
          <w:iCs/>
          <w:szCs w:val="24"/>
        </w:rPr>
        <w:t>Oxime</w:t>
      </w:r>
      <w:proofErr w:type="spellEnd"/>
      <w:r w:rsidRPr="00AE66E4">
        <w:rPr>
          <w:iCs/>
          <w:szCs w:val="24"/>
        </w:rPr>
        <w:t>) curing Sealant, 100% silicone content. High performance neutral cure silicone rubber when expose to moisture and humidity at room temperature. Due to its non-sag, non-</w:t>
      </w:r>
      <w:proofErr w:type="spellStart"/>
      <w:r w:rsidRPr="00AE66E4">
        <w:rPr>
          <w:iCs/>
          <w:szCs w:val="24"/>
        </w:rPr>
        <w:t>flowable</w:t>
      </w:r>
      <w:proofErr w:type="spellEnd"/>
      <w:r w:rsidRPr="00AE66E4">
        <w:rPr>
          <w:iCs/>
          <w:szCs w:val="24"/>
        </w:rPr>
        <w:t xml:space="preserve"> features, it may be applied overhead or on sidewall joint surface. It presents no offensive odor during curing, and will not corrode metals. Discoloration of copper based metals may </w:t>
      </w:r>
      <w:proofErr w:type="gramStart"/>
      <w:r w:rsidRPr="00AE66E4">
        <w:rPr>
          <w:iCs/>
          <w:szCs w:val="24"/>
        </w:rPr>
        <w:t>occurs</w:t>
      </w:r>
      <w:proofErr w:type="gramEnd"/>
      <w:r w:rsidRPr="00AE66E4">
        <w:rPr>
          <w:iCs/>
          <w:szCs w:val="24"/>
        </w:rPr>
        <w:t xml:space="preserve"> when hermetically sealed. Moreover, it can adhere well on alkaline material such as mortar and white cement.</w:t>
      </w:r>
    </w:p>
    <w:p w:rsidR="0025503F" w:rsidRPr="00AE66E4" w:rsidRDefault="0025503F" w:rsidP="0025503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E66E4">
        <w:rPr>
          <w:szCs w:val="24"/>
        </w:rPr>
        <w:t>Superior weather resistance to temperature (-50 to 150</w:t>
      </w:r>
      <w:r w:rsidRPr="00AE66E4">
        <w:rPr>
          <w:szCs w:val="24"/>
          <w:vertAlign w:val="superscript"/>
        </w:rPr>
        <w:t>0</w:t>
      </w:r>
      <w:r w:rsidRPr="00AE66E4">
        <w:rPr>
          <w:szCs w:val="24"/>
        </w:rPr>
        <w:t>C), moisture, ozone and ultraviolet rays.</w:t>
      </w:r>
    </w:p>
    <w:p w:rsidR="0025503F" w:rsidRPr="00AE66E4" w:rsidRDefault="0025503F" w:rsidP="0025503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E66E4">
        <w:rPr>
          <w:szCs w:val="24"/>
        </w:rPr>
        <w:t>Superior adhesiveness to almost all materials when used with an appropriate pr</w:t>
      </w:r>
      <w:bookmarkStart w:id="0" w:name="_GoBack"/>
      <w:bookmarkEnd w:id="0"/>
      <w:r w:rsidRPr="00AE66E4">
        <w:rPr>
          <w:szCs w:val="24"/>
        </w:rPr>
        <w:t>imer.</w:t>
      </w:r>
    </w:p>
    <w:p w:rsidR="0025503F" w:rsidRPr="00AE66E4" w:rsidRDefault="0025503F" w:rsidP="0025503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E66E4">
        <w:rPr>
          <w:szCs w:val="24"/>
        </w:rPr>
        <w:t>Suitable sealing for Glass, metals, Sashes, Marbles, Prefab housing units, Suspension construction, mortar, stone, plastics.</w:t>
      </w:r>
    </w:p>
    <w:p w:rsidR="0025503F" w:rsidRPr="00AE66E4" w:rsidRDefault="0025503F" w:rsidP="0025503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E66E4">
        <w:rPr>
          <w:szCs w:val="24"/>
        </w:rPr>
        <w:t>To meet following standard:</w:t>
      </w:r>
    </w:p>
    <w:p w:rsidR="0025503F" w:rsidRPr="00AE66E4" w:rsidRDefault="0025503F" w:rsidP="0025503F">
      <w:pPr>
        <w:widowControl/>
        <w:spacing w:line="360" w:lineRule="auto"/>
        <w:rPr>
          <w:szCs w:val="24"/>
        </w:rPr>
        <w:sectPr w:rsidR="0025503F" w:rsidRPr="00AE66E4">
          <w:pgSz w:w="12247" w:h="15819"/>
          <w:pgMar w:top="720" w:right="720" w:bottom="720" w:left="720" w:header="708" w:footer="708" w:gutter="0"/>
          <w:cols w:space="720"/>
        </w:sectPr>
      </w:pPr>
    </w:p>
    <w:p w:rsidR="0025503F" w:rsidRPr="00AE66E4" w:rsidRDefault="0025503F" w:rsidP="0025503F">
      <w:pPr>
        <w:pStyle w:val="ListParagraph"/>
        <w:numPr>
          <w:ilvl w:val="0"/>
          <w:numId w:val="2"/>
        </w:numPr>
        <w:spacing w:line="360" w:lineRule="auto"/>
        <w:ind w:left="993"/>
        <w:jc w:val="both"/>
        <w:rPr>
          <w:szCs w:val="24"/>
        </w:rPr>
      </w:pPr>
      <w:r w:rsidRPr="00AE66E4">
        <w:rPr>
          <w:szCs w:val="24"/>
        </w:rPr>
        <w:lastRenderedPageBreak/>
        <w:t>ASTM C 620 Type S, Grade NS, Class 25</w:t>
      </w:r>
    </w:p>
    <w:p w:rsidR="0025503F" w:rsidRPr="00AE66E4" w:rsidRDefault="0025503F" w:rsidP="0025503F">
      <w:pPr>
        <w:pStyle w:val="ListParagraph"/>
        <w:numPr>
          <w:ilvl w:val="0"/>
          <w:numId w:val="2"/>
        </w:numPr>
        <w:spacing w:line="360" w:lineRule="auto"/>
        <w:ind w:left="993"/>
        <w:jc w:val="both"/>
        <w:rPr>
          <w:szCs w:val="24"/>
        </w:rPr>
      </w:pPr>
      <w:r w:rsidRPr="00AE66E4">
        <w:rPr>
          <w:szCs w:val="24"/>
        </w:rPr>
        <w:t>JIS A 5758-04 G 20LM</w:t>
      </w:r>
    </w:p>
    <w:p w:rsidR="0025503F" w:rsidRPr="00AE66E4" w:rsidRDefault="0025503F" w:rsidP="0025503F">
      <w:pPr>
        <w:pStyle w:val="ListParagraph"/>
        <w:numPr>
          <w:ilvl w:val="0"/>
          <w:numId w:val="2"/>
        </w:numPr>
        <w:spacing w:line="360" w:lineRule="auto"/>
        <w:ind w:left="1701"/>
        <w:jc w:val="both"/>
        <w:rPr>
          <w:szCs w:val="24"/>
        </w:rPr>
      </w:pPr>
      <w:r w:rsidRPr="00AE66E4">
        <w:rPr>
          <w:szCs w:val="24"/>
        </w:rPr>
        <w:t>GB/T 14683-93 8020 F, N</w:t>
      </w:r>
    </w:p>
    <w:p w:rsidR="0025503F" w:rsidRPr="00AE66E4" w:rsidRDefault="0025503F" w:rsidP="0025503F">
      <w:pPr>
        <w:pStyle w:val="ListParagraph"/>
        <w:numPr>
          <w:ilvl w:val="0"/>
          <w:numId w:val="2"/>
        </w:numPr>
        <w:spacing w:line="360" w:lineRule="auto"/>
        <w:ind w:left="1701"/>
        <w:jc w:val="both"/>
        <w:rPr>
          <w:szCs w:val="24"/>
        </w:rPr>
      </w:pPr>
      <w:r w:rsidRPr="00AE66E4">
        <w:rPr>
          <w:szCs w:val="24"/>
        </w:rPr>
        <w:t>BS 5889:1989, Type B</w:t>
      </w:r>
    </w:p>
    <w:p w:rsidR="0025503F" w:rsidRPr="00AE66E4" w:rsidRDefault="0025503F" w:rsidP="0025503F">
      <w:pPr>
        <w:widowControl/>
        <w:spacing w:line="360" w:lineRule="auto"/>
        <w:rPr>
          <w:szCs w:val="24"/>
        </w:rPr>
        <w:sectPr w:rsidR="0025503F" w:rsidRPr="00AE66E4">
          <w:type w:val="continuous"/>
          <w:pgSz w:w="12247" w:h="15819"/>
          <w:pgMar w:top="720" w:right="720" w:bottom="720" w:left="720" w:header="708" w:footer="708" w:gutter="0"/>
          <w:cols w:num="2" w:space="229"/>
        </w:sect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25503F" w:rsidRPr="00AE66E4" w:rsidTr="00255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lastRenderedPageBreak/>
              <w:t>Description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AE66E4">
              <w:rPr>
                <w:rFonts w:eastAsiaTheme="minorEastAsia"/>
                <w:i/>
                <w:color w:val="000000" w:themeColor="text1"/>
                <w:szCs w:val="24"/>
              </w:rPr>
              <w:t xml:space="preserve">      Details</w:t>
            </w:r>
          </w:p>
        </w:tc>
      </w:tr>
      <w:tr w:rsidR="0025503F" w:rsidRPr="00AE66E4" w:rsidTr="002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b w:val="0"/>
                <w:i/>
                <w:szCs w:val="24"/>
              </w:rPr>
            </w:pPr>
            <w:r w:rsidRPr="00AE66E4">
              <w:rPr>
                <w:rFonts w:eastAsiaTheme="minorEastAsia"/>
                <w:b w:val="0"/>
                <w:i/>
                <w:szCs w:val="24"/>
              </w:rPr>
              <w:t>Characteristics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 xml:space="preserve">Non-corrosive type </w:t>
            </w:r>
          </w:p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100 % silicone</w:t>
            </w:r>
          </w:p>
          <w:p w:rsidR="0025503F" w:rsidRPr="00AE66E4" w:rsidRDefault="00255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AE66E4">
              <w:rPr>
                <w:szCs w:val="24"/>
              </w:rPr>
              <w:t>Superior adhesiveness</w:t>
            </w:r>
          </w:p>
        </w:tc>
      </w:tr>
      <w:tr w:rsidR="0025503F" w:rsidRPr="00AE66E4" w:rsidTr="0025503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b w:val="0"/>
                <w:i/>
                <w:szCs w:val="24"/>
              </w:rPr>
            </w:pPr>
            <w:r w:rsidRPr="00AE66E4">
              <w:rPr>
                <w:rFonts w:eastAsiaTheme="minorEastAsia"/>
                <w:b w:val="0"/>
                <w:i/>
                <w:szCs w:val="24"/>
              </w:rPr>
              <w:t>Suitable for sealing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Glass, metals, Sashes, Marbles</w:t>
            </w:r>
          </w:p>
          <w:p w:rsidR="0025503F" w:rsidRPr="00AE66E4" w:rsidRDefault="0025503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Prefab housing units, Suspension construction</w:t>
            </w:r>
          </w:p>
        </w:tc>
      </w:tr>
      <w:tr w:rsidR="0025503F" w:rsidRPr="00AE66E4" w:rsidTr="002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b w:val="0"/>
                <w:i/>
                <w:szCs w:val="24"/>
              </w:rPr>
            </w:pPr>
            <w:r w:rsidRPr="00AE66E4">
              <w:rPr>
                <w:rFonts w:eastAsiaTheme="minorEastAsia"/>
                <w:b w:val="0"/>
                <w:i/>
                <w:szCs w:val="24"/>
              </w:rPr>
              <w:t>Standard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-JIS A 5758-97 G-F 20LM</w:t>
            </w:r>
          </w:p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-ASTM C 920 Type S, Grade NS Class 25</w:t>
            </w:r>
          </w:p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-GB/T 14683-93 8020F,N</w:t>
            </w:r>
          </w:p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-BS 5889:1989 Type B</w:t>
            </w:r>
          </w:p>
        </w:tc>
      </w:tr>
      <w:tr w:rsidR="0025503F" w:rsidRPr="00AE66E4" w:rsidTr="0025503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b w:val="0"/>
                <w:i/>
                <w:szCs w:val="24"/>
              </w:rPr>
            </w:pPr>
            <w:r w:rsidRPr="00AE66E4">
              <w:rPr>
                <w:rFonts w:eastAsiaTheme="minorEastAsia"/>
                <w:b w:val="0"/>
                <w:i/>
                <w:szCs w:val="24"/>
              </w:rPr>
              <w:t>Origin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Thailand</w:t>
            </w:r>
          </w:p>
        </w:tc>
      </w:tr>
      <w:tr w:rsidR="0025503F" w:rsidRPr="00AE66E4" w:rsidTr="002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AE66E4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Color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Light Gray, White, Translucent, Black</w:t>
            </w:r>
          </w:p>
        </w:tc>
      </w:tr>
      <w:tr w:rsidR="0025503F" w:rsidRPr="00AE66E4" w:rsidTr="0025503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25503F" w:rsidRPr="00AE66E4" w:rsidRDefault="0025503F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AE66E4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Packing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25503F" w:rsidRPr="00AE66E4" w:rsidRDefault="0025503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E66E4">
              <w:rPr>
                <w:szCs w:val="24"/>
              </w:rPr>
              <w:t>300ml/cartridge; 25pcs/Carton box</w:t>
            </w:r>
          </w:p>
        </w:tc>
      </w:tr>
    </w:tbl>
    <w:p w:rsidR="002E2C08" w:rsidRPr="00AE66E4" w:rsidRDefault="002E2C08" w:rsidP="0025503F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</w:p>
    <w:p w:rsidR="0025503F" w:rsidRPr="00AE66E4" w:rsidRDefault="0025503F" w:rsidP="0025503F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r w:rsidRPr="00AE66E4">
        <w:rPr>
          <w:b/>
          <w:bCs/>
          <w:i/>
          <w:iCs/>
          <w:szCs w:val="24"/>
          <w:u w:val="single"/>
        </w:rPr>
        <w:t>Properties:</w:t>
      </w:r>
    </w:p>
    <w:tbl>
      <w:tblPr>
        <w:tblStyle w:val="ListTable2Accent5"/>
        <w:tblW w:w="5086" w:type="pct"/>
        <w:tblLook w:val="0660" w:firstRow="1" w:lastRow="1" w:firstColumn="0" w:lastColumn="0" w:noHBand="1" w:noVBand="1"/>
      </w:tblPr>
      <w:tblGrid>
        <w:gridCol w:w="3981"/>
        <w:gridCol w:w="2198"/>
        <w:gridCol w:w="1738"/>
        <w:gridCol w:w="1824"/>
      </w:tblGrid>
      <w:tr w:rsidR="00B0106F" w:rsidRPr="00AE66E4" w:rsidTr="002E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b w:val="0"/>
                <w:i/>
                <w:szCs w:val="24"/>
              </w:rPr>
            </w:pPr>
            <w:r w:rsidRPr="00AE66E4">
              <w:rPr>
                <w:b w:val="0"/>
                <w:i/>
                <w:szCs w:val="24"/>
              </w:rPr>
              <w:t>Feature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rPr>
                <w:b w:val="0"/>
                <w:i/>
                <w:szCs w:val="24"/>
              </w:rPr>
            </w:pPr>
            <w:r w:rsidRPr="00AE66E4">
              <w:rPr>
                <w:b w:val="0"/>
                <w:i/>
                <w:szCs w:val="24"/>
              </w:rPr>
              <w:t>Unit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b w:val="0"/>
                <w:i/>
                <w:szCs w:val="24"/>
              </w:rPr>
            </w:pPr>
            <w:r w:rsidRPr="00AE66E4">
              <w:rPr>
                <w:b w:val="0"/>
                <w:i/>
                <w:szCs w:val="24"/>
              </w:rPr>
              <w:t>Results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rPr>
                <w:szCs w:val="24"/>
              </w:rPr>
            </w:pPr>
          </w:p>
        </w:tc>
      </w:tr>
      <w:tr w:rsidR="00B0106F" w:rsidRPr="00AE66E4" w:rsidTr="002E2C08">
        <w:trPr>
          <w:trHeight w:val="305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Curing System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proofErr w:type="spellStart"/>
            <w:r w:rsidRPr="00AE66E4">
              <w:rPr>
                <w:szCs w:val="24"/>
              </w:rPr>
              <w:t>Oxime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05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b/>
                <w:i/>
                <w:szCs w:val="24"/>
              </w:rPr>
            </w:pPr>
            <w:r w:rsidRPr="00AE66E4">
              <w:rPr>
                <w:b/>
                <w:i/>
                <w:szCs w:val="24"/>
              </w:rPr>
              <w:t>Before curing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25503F" w:rsidRPr="00AE66E4" w:rsidRDefault="0025503F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63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Appearance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Paste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52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Fluidity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Non-Sagging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94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Tack free time at</w:t>
            </w:r>
          </w:p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23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(73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F)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6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263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b/>
                <w:i/>
                <w:szCs w:val="24"/>
              </w:rPr>
            </w:pPr>
            <w:r w:rsidRPr="00AE66E4">
              <w:rPr>
                <w:b/>
                <w:i/>
                <w:szCs w:val="24"/>
              </w:rPr>
              <w:t>After curing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25503F" w:rsidRPr="00AE66E4" w:rsidRDefault="0025503F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63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Appearance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Elastic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26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Specific Gravity at</w:t>
            </w:r>
          </w:p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23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(73</w:t>
            </w:r>
            <w:r w:rsidRPr="00AE66E4">
              <w:rPr>
                <w:szCs w:val="24"/>
                <w:vertAlign w:val="superscript"/>
              </w:rPr>
              <w:t>0</w:t>
            </w:r>
            <w:r w:rsidRPr="00AE66E4">
              <w:rPr>
                <w:szCs w:val="24"/>
              </w:rPr>
              <w:t>C F)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sz w:val="24"/>
                <w:szCs w:val="24"/>
              </w:rPr>
              <w:t>g/cm</w:t>
            </w:r>
            <w:r w:rsidRPr="00AE66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1.04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94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Hardness, Shore A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20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trHeight w:val="352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szCs w:val="24"/>
              </w:rPr>
            </w:pPr>
            <w:r w:rsidRPr="00AE66E4">
              <w:rPr>
                <w:szCs w:val="24"/>
              </w:rPr>
              <w:t xml:space="preserve">     Tensile strength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sz w:val="24"/>
                <w:szCs w:val="24"/>
              </w:rPr>
              <w:t>(MPa)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szCs w:val="24"/>
              </w:rPr>
            </w:pPr>
            <w:r w:rsidRPr="00AE66E4">
              <w:rPr>
                <w:szCs w:val="24"/>
              </w:rPr>
              <w:t>1.4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06F" w:rsidRPr="00AE66E4" w:rsidTr="002E2C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2043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25503F" w:rsidRPr="00AE66E4" w:rsidRDefault="0025503F">
            <w:pPr>
              <w:rPr>
                <w:b w:val="0"/>
                <w:szCs w:val="24"/>
              </w:rPr>
            </w:pPr>
            <w:r w:rsidRPr="00AE66E4">
              <w:rPr>
                <w:b w:val="0"/>
                <w:szCs w:val="24"/>
              </w:rPr>
              <w:t xml:space="preserve">     Elongation at break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AE66E4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AE66E4">
              <w:rPr>
                <w:rFonts w:ascii="Times New Roman" w:eastAsia="SimSun" w:hAnsi="Times New Roman"/>
                <w:b w:val="0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25503F" w:rsidRPr="00AE66E4" w:rsidRDefault="0025503F">
            <w:pPr>
              <w:jc w:val="center"/>
              <w:rPr>
                <w:b w:val="0"/>
                <w:szCs w:val="24"/>
              </w:rPr>
            </w:pPr>
            <w:r w:rsidRPr="00AE66E4">
              <w:rPr>
                <w:b w:val="0"/>
                <w:szCs w:val="24"/>
              </w:rPr>
              <w:t>540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25503F" w:rsidRPr="00AE66E4" w:rsidRDefault="0025503F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C08" w:rsidRPr="00AE66E4" w:rsidRDefault="002E2C08" w:rsidP="002E2C08">
      <w:pPr>
        <w:spacing w:line="360" w:lineRule="auto"/>
        <w:jc w:val="both"/>
        <w:rPr>
          <w:b/>
          <w:i/>
          <w:szCs w:val="24"/>
          <w:u w:val="single"/>
        </w:rPr>
      </w:pPr>
      <w:r w:rsidRPr="00AE66E4">
        <w:rPr>
          <w:b/>
          <w:i/>
          <w:szCs w:val="24"/>
          <w:u w:val="single"/>
        </w:rPr>
        <w:lastRenderedPageBreak/>
        <w:t>CONTACT INFORMATION:</w:t>
      </w:r>
    </w:p>
    <w:p w:rsidR="002E2C08" w:rsidRPr="00AE66E4" w:rsidRDefault="002E2C08" w:rsidP="002E2C08">
      <w:pPr>
        <w:spacing w:line="360" w:lineRule="auto"/>
        <w:jc w:val="both"/>
        <w:rPr>
          <w:szCs w:val="24"/>
        </w:rPr>
      </w:pPr>
      <w:r w:rsidRPr="00AE66E4">
        <w:rPr>
          <w:szCs w:val="24"/>
        </w:rPr>
        <w:t>FK Trading Co., Ltd</w:t>
      </w:r>
    </w:p>
    <w:p w:rsidR="002E2C08" w:rsidRPr="00AE66E4" w:rsidRDefault="002E2C08" w:rsidP="002E2C08">
      <w:pPr>
        <w:spacing w:line="360" w:lineRule="auto"/>
        <w:jc w:val="both"/>
        <w:rPr>
          <w:szCs w:val="24"/>
        </w:rPr>
      </w:pPr>
      <w:r w:rsidRPr="00AE66E4">
        <w:rPr>
          <w:szCs w:val="24"/>
        </w:rPr>
        <w:t xml:space="preserve">Address: 76B, Road No 49, Tan </w:t>
      </w:r>
      <w:proofErr w:type="spellStart"/>
      <w:r w:rsidRPr="00AE66E4">
        <w:rPr>
          <w:szCs w:val="24"/>
        </w:rPr>
        <w:t>Quy</w:t>
      </w:r>
      <w:proofErr w:type="spellEnd"/>
      <w:r w:rsidRPr="00AE66E4">
        <w:rPr>
          <w:szCs w:val="24"/>
        </w:rPr>
        <w:t xml:space="preserve"> Ward, District 7, Ho </w:t>
      </w:r>
      <w:proofErr w:type="gramStart"/>
      <w:r w:rsidRPr="00AE66E4">
        <w:rPr>
          <w:szCs w:val="24"/>
        </w:rPr>
        <w:t>chi</w:t>
      </w:r>
      <w:proofErr w:type="gramEnd"/>
      <w:r w:rsidRPr="00AE66E4">
        <w:rPr>
          <w:szCs w:val="24"/>
        </w:rPr>
        <w:t xml:space="preserve"> Minh City</w:t>
      </w:r>
    </w:p>
    <w:p w:rsidR="002E2C08" w:rsidRPr="00AE66E4" w:rsidRDefault="002E2C08" w:rsidP="002E2C08">
      <w:pPr>
        <w:spacing w:line="360" w:lineRule="auto"/>
        <w:jc w:val="both"/>
        <w:rPr>
          <w:szCs w:val="24"/>
        </w:rPr>
      </w:pPr>
      <w:r w:rsidRPr="00AE66E4">
        <w:rPr>
          <w:szCs w:val="24"/>
        </w:rPr>
        <w:t>Phone: 08-3775 3557                       Fax: 08 3775 3878</w:t>
      </w:r>
    </w:p>
    <w:p w:rsidR="002E2C08" w:rsidRPr="00AE66E4" w:rsidRDefault="002E2C08" w:rsidP="002E2C08">
      <w:pPr>
        <w:spacing w:line="360" w:lineRule="auto"/>
        <w:jc w:val="both"/>
        <w:rPr>
          <w:szCs w:val="24"/>
        </w:rPr>
      </w:pPr>
      <w:r w:rsidRPr="00AE66E4">
        <w:rPr>
          <w:szCs w:val="24"/>
        </w:rPr>
        <w:t>Hotline:</w:t>
      </w:r>
    </w:p>
    <w:p w:rsidR="002E2C08" w:rsidRPr="00AE66E4" w:rsidRDefault="002E2C08" w:rsidP="002E2C08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E66E4">
        <w:rPr>
          <w:szCs w:val="24"/>
        </w:rPr>
        <w:t xml:space="preserve">Ho Chi Minh: 090 3603 769 (Mr. </w:t>
      </w:r>
      <w:proofErr w:type="spellStart"/>
      <w:r w:rsidRPr="00AE66E4">
        <w:rPr>
          <w:szCs w:val="24"/>
        </w:rPr>
        <w:t>Nhã</w:t>
      </w:r>
      <w:proofErr w:type="spellEnd"/>
      <w:r w:rsidRPr="00AE66E4">
        <w:rPr>
          <w:szCs w:val="24"/>
        </w:rPr>
        <w:t>) - 090 6364 066 (Mr. </w:t>
      </w:r>
      <w:proofErr w:type="spellStart"/>
      <w:r w:rsidRPr="00AE66E4">
        <w:rPr>
          <w:szCs w:val="24"/>
        </w:rPr>
        <w:t>Khuê</w:t>
      </w:r>
      <w:proofErr w:type="spellEnd"/>
      <w:r w:rsidRPr="00AE66E4">
        <w:rPr>
          <w:szCs w:val="24"/>
        </w:rPr>
        <w:t>)  </w:t>
      </w:r>
    </w:p>
    <w:p w:rsidR="002E2C08" w:rsidRPr="00AE66E4" w:rsidRDefault="002E2C08" w:rsidP="002E2C08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E66E4">
        <w:rPr>
          <w:szCs w:val="24"/>
        </w:rPr>
        <w:t xml:space="preserve">Ha </w:t>
      </w:r>
      <w:proofErr w:type="spellStart"/>
      <w:r w:rsidRPr="00AE66E4">
        <w:rPr>
          <w:szCs w:val="24"/>
        </w:rPr>
        <w:t>Noi</w:t>
      </w:r>
      <w:proofErr w:type="spellEnd"/>
      <w:r w:rsidRPr="00AE66E4">
        <w:rPr>
          <w:szCs w:val="24"/>
        </w:rPr>
        <w:t xml:space="preserve">: 090 9868 128 (Ms. </w:t>
      </w:r>
      <w:proofErr w:type="spellStart"/>
      <w:r w:rsidRPr="00AE66E4">
        <w:rPr>
          <w:szCs w:val="24"/>
        </w:rPr>
        <w:t>Thanh</w:t>
      </w:r>
      <w:proofErr w:type="spellEnd"/>
      <w:r w:rsidRPr="00AE66E4">
        <w:rPr>
          <w:szCs w:val="24"/>
        </w:rPr>
        <w:t>)</w:t>
      </w:r>
    </w:p>
    <w:p w:rsidR="0025503F" w:rsidRPr="00AE66E4" w:rsidRDefault="0025503F">
      <w:pPr>
        <w:rPr>
          <w:szCs w:val="24"/>
        </w:rPr>
      </w:pPr>
    </w:p>
    <w:sectPr w:rsidR="0025503F" w:rsidRPr="00AE6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0D9F"/>
    <w:multiLevelType w:val="hybridMultilevel"/>
    <w:tmpl w:val="E4D8B8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361EE0"/>
    <w:multiLevelType w:val="hybridMultilevel"/>
    <w:tmpl w:val="776C074E"/>
    <w:lvl w:ilvl="0" w:tplc="A7DE88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3F"/>
    <w:rsid w:val="0025503F"/>
    <w:rsid w:val="002E2C08"/>
    <w:rsid w:val="003E19A6"/>
    <w:rsid w:val="005D7B95"/>
    <w:rsid w:val="00AE66E4"/>
    <w:rsid w:val="00B0106F"/>
    <w:rsid w:val="00D4528D"/>
    <w:rsid w:val="00E023A7"/>
    <w:rsid w:val="00E13453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3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Accent1">
    <w:name w:val="List Table 2 Accent 1"/>
    <w:basedOn w:val="TableNormal"/>
    <w:uiPriority w:val="47"/>
    <w:rsid w:val="0025503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25503F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25503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5503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3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Accent1">
    <w:name w:val="List Table 2 Accent 1"/>
    <w:basedOn w:val="TableNormal"/>
    <w:uiPriority w:val="47"/>
    <w:rsid w:val="0025503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25503F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25503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550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FKVN-03</dc:creator>
  <cp:lastModifiedBy>FKVN-03</cp:lastModifiedBy>
  <cp:revision>1</cp:revision>
  <dcterms:created xsi:type="dcterms:W3CDTF">2015-09-01T01:11:00Z</dcterms:created>
  <dcterms:modified xsi:type="dcterms:W3CDTF">2015-09-01T01:16:00Z</dcterms:modified>
</cp:coreProperties>
</file>